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199" w:tblpY="7510"/>
        <w:tblOverlap w:val="never"/>
        <w:tblW w:w="95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000"/>
        <w:gridCol w:w="1090"/>
        <w:gridCol w:w="610"/>
        <w:gridCol w:w="62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类别</w:t>
            </w:r>
          </w:p>
        </w:tc>
        <w:tc>
          <w:tcPr>
            <w:tcW w:w="1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分项类容</w:t>
            </w:r>
          </w:p>
        </w:tc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分值</w:t>
            </w:r>
          </w:p>
        </w:tc>
        <w:tc>
          <w:tcPr>
            <w:tcW w:w="6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评分说明及标准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一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企业综合实力得分（30分）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企业注册资金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注册资金在20万元以下的得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分； 20万元≤注册资金＜50万元的得4分；50万元≤注册资金＜100万元的得6分； 100万元≤注册资金的得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分，最高1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业绩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2019年至今运营过的类似项目业绩，每个得2分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项目团队资格证书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团队人员具有国家级资格证书每个得4分，其它资格证书每个得2分。最高1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分，；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二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实施方案（40分）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实施方案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横向比较各合作运营方对项目理解程度、实施方案是否合理可行：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优：40-31分；良得：30-21分；中：20-11分；差得：10-1分。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报价得分（30分）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报价情况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（1)保底营业收入基准价为56400元/月。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（2)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以基准价为标准，报价等于基准价的得2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分，高于基准价1%低于3%，得2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分；高于基准价3%低于5%，得2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分，高于基准价5%低于7%以上，得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分。高于基准价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%（含），得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分，低于基准价得5分。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总得分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6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附件3</w:t>
      </w:r>
    </w:p>
    <w:p>
      <w:pPr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资格审查表</w:t>
      </w:r>
    </w:p>
    <w:tbl>
      <w:tblPr>
        <w:tblStyle w:val="4"/>
        <w:tblW w:w="9127" w:type="dxa"/>
        <w:tblInd w:w="-26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86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8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           审查项目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1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8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响应人法定代表人身份证正反面复印件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8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响应人的法人授权委托书原件、委托代理人身份证正反面复印件（委托代理时必须提供）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8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响应人的营业执照副本复印件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8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响应人在“信用中国”网站(www.creditchina.gov.cn)的信用查询页面打印文件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8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响应人参加本采购活动前3年内在经营活动中没有重大违法记录的书面声明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8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意向方按规定的格式及内容要求签署了《承诺意向书》。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8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谈判保证金转账凭证</w:t>
            </w:r>
          </w:p>
        </w:tc>
      </w:tr>
    </w:tbl>
    <w:p>
      <w:pPr>
        <w:jc w:val="left"/>
        <w:rPr>
          <w:rFonts w:ascii="黑体" w:hAnsi="黑体" w:eastAsia="黑体" w:cs="黑体"/>
          <w:bCs/>
          <w:sz w:val="32"/>
          <w:szCs w:val="32"/>
        </w:rPr>
      </w:pPr>
    </w:p>
    <w:p>
      <w:pPr>
        <w:jc w:val="center"/>
      </w:pPr>
      <w:r>
        <w:rPr>
          <w:rFonts w:hint="eastAsia" w:ascii="黑体" w:hAnsi="黑体" w:eastAsia="黑体" w:cs="黑体"/>
          <w:b/>
          <w:sz w:val="32"/>
          <w:szCs w:val="32"/>
        </w:rPr>
        <w:t>综合评分表</w:t>
      </w:r>
    </w:p>
    <w:p>
      <w:pPr>
        <w:tabs>
          <w:tab w:val="left" w:pos="3548"/>
        </w:tabs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YzQxZmU2ODcxM2RhZjQ5MGU1Mjg2MDIxMmFmMDAifQ=="/>
  </w:docVars>
  <w:rsids>
    <w:rsidRoot w:val="00000000"/>
    <w:rsid w:val="0F8D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spacing w:after="424" w:line="261" w:lineRule="auto"/>
      <w:ind w:left="10" w:hanging="10"/>
      <w:jc w:val="center"/>
      <w:outlineLvl w:val="0"/>
    </w:pPr>
    <w:rPr>
      <w:rFonts w:ascii="宋体" w:hAnsi="宋体" w:eastAsia="宋体" w:cs="宋体"/>
      <w:color w:val="000000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lang w:val="en-US" w:eastAsia="zh-CN" w:bidi="ar-SA"/>
    </w:rPr>
  </w:style>
  <w:style w:type="paragraph" w:customStyle="1" w:styleId="6">
    <w:name w:val="Body text|1"/>
    <w:qFormat/>
    <w:uiPriority w:val="0"/>
    <w:pPr>
      <w:widowControl w:val="0"/>
      <w:spacing w:line="432" w:lineRule="auto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2022-06-25T05:47:48Z</dcterms:created>
  <dc:creator>86186</dc:creator>
  <cp:lastModifiedBy>GZLY</cp:lastModifiedBy>
  <dcterms:modified xsi:type="dcterms:W3CDTF">2022-06-25T05:47:51Z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00651333A4824664B8738F16EB02A682</vt:lpwstr>
  </property>
</Properties>
</file>